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754F" w14:textId="59BF0179" w:rsidR="00D9255D" w:rsidRPr="00D10688" w:rsidRDefault="00D9255D" w:rsidP="00D9255D">
      <w:pPr>
        <w:rPr>
          <w:rFonts w:cstheme="minorHAnsi"/>
          <w:sz w:val="28"/>
          <w:szCs w:val="28"/>
        </w:rPr>
      </w:pPr>
      <w:r w:rsidRPr="00D10688">
        <w:rPr>
          <w:rFonts w:cstheme="minorHAnsi"/>
          <w:b/>
          <w:bCs/>
          <w:sz w:val="28"/>
          <w:szCs w:val="28"/>
        </w:rPr>
        <w:t>Sampling frame</w:t>
      </w:r>
      <w:r>
        <w:rPr>
          <w:rFonts w:cstheme="minorHAnsi"/>
          <w:b/>
          <w:bCs/>
          <w:sz w:val="28"/>
          <w:szCs w:val="28"/>
        </w:rPr>
        <w:t xml:space="preserve"> Resident Interviews</w:t>
      </w:r>
    </w:p>
    <w:p w14:paraId="150757C1" w14:textId="77777777" w:rsidR="00D9255D" w:rsidRPr="0090536B" w:rsidRDefault="00D9255D" w:rsidP="00D9255D">
      <w:pPr>
        <w:rPr>
          <w:rFonts w:ascii="Arial" w:eastAsia="Arial" w:hAnsi="Arial" w:cs="Arial"/>
        </w:rPr>
      </w:pPr>
      <w:r w:rsidRPr="5B3DE771">
        <w:rPr>
          <w:rFonts w:ascii="Arial" w:eastAsia="Arial" w:hAnsi="Arial" w:cs="Arial"/>
          <w:b/>
          <w:bCs/>
        </w:rPr>
        <w:t xml:space="preserve">WP 3 is designed to </w:t>
      </w:r>
      <w:r w:rsidRPr="5B3DE771">
        <w:rPr>
          <w:rFonts w:ascii="Arial" w:eastAsia="Arial" w:hAnsi="Arial" w:cs="Arial"/>
        </w:rPr>
        <w:t xml:space="preserve">uncover people’s everyday social and economic practices and experiences, addressing the neglected question of how ‘ordinary’ people deal with processes of </w:t>
      </w:r>
      <w:proofErr w:type="spellStart"/>
      <w:r w:rsidRPr="5B3DE771">
        <w:rPr>
          <w:rFonts w:ascii="Arial" w:eastAsia="Arial" w:hAnsi="Arial" w:cs="Arial"/>
        </w:rPr>
        <w:t>peripheralisation</w:t>
      </w:r>
      <w:proofErr w:type="spellEnd"/>
      <w:r w:rsidRPr="5B3DE771">
        <w:rPr>
          <w:rFonts w:ascii="Arial" w:eastAsia="Arial" w:hAnsi="Arial" w:cs="Arial"/>
        </w:rPr>
        <w:t>. Analysis will extend outwards from the micro-level practices of households and connect to broader macro-level processes (e.g. employment change, social polarisation, public service restructuring).</w:t>
      </w:r>
    </w:p>
    <w:p w14:paraId="55BE4AEC" w14:textId="77777777" w:rsidR="00D9255D" w:rsidRPr="0090536B" w:rsidRDefault="00D9255D" w:rsidP="00D9255D">
      <w:pPr>
        <w:rPr>
          <w:rFonts w:ascii="Arial" w:eastAsia="Arial" w:hAnsi="Arial" w:cs="Arial"/>
        </w:rPr>
      </w:pPr>
      <w:r w:rsidRPr="5B3DE771">
        <w:rPr>
          <w:rFonts w:ascii="Arial" w:eastAsia="Arial" w:hAnsi="Arial" w:cs="Arial"/>
        </w:rPr>
        <w:t xml:space="preserve">Each neighbourhood case study will be based upon semi-structured and in-depth biographical interviews with household residents (30-35 per case, 60-70 in total) to understand their livelihood practices and utilisation of internal </w:t>
      </w:r>
      <w:r w:rsidRPr="5B3DE771">
        <w:rPr>
          <w:rFonts w:ascii="Arial" w:eastAsia="Arial" w:hAnsi="Arial" w:cs="Arial"/>
          <w:i/>
          <w:iCs/>
        </w:rPr>
        <w:t>and</w:t>
      </w:r>
      <w:r w:rsidRPr="5B3DE771">
        <w:rPr>
          <w:rFonts w:ascii="Arial" w:eastAsia="Arial" w:hAnsi="Arial" w:cs="Arial"/>
        </w:rPr>
        <w:t xml:space="preserve"> external assets and resources. Rather than traditional representative sampling, the qualitative logic of our case study work implies a purposive sampling approach. This i</w:t>
      </w:r>
      <w:r>
        <w:rPr>
          <w:rFonts w:ascii="Arial" w:eastAsia="Arial" w:hAnsi="Arial" w:cs="Arial"/>
        </w:rPr>
        <w:t>nvolve</w:t>
      </w:r>
      <w:r w:rsidRPr="5B3DE771">
        <w:rPr>
          <w:rFonts w:ascii="Arial" w:eastAsia="Arial" w:hAnsi="Arial" w:cs="Arial"/>
        </w:rPr>
        <w:t>s selectin</w:t>
      </w:r>
      <w:r>
        <w:rPr>
          <w:rFonts w:ascii="Arial" w:eastAsia="Arial" w:hAnsi="Arial" w:cs="Arial"/>
        </w:rPr>
        <w:t>g</w:t>
      </w:r>
      <w:r w:rsidRPr="5B3DE771">
        <w:rPr>
          <w:rFonts w:ascii="Arial" w:eastAsia="Arial" w:hAnsi="Arial" w:cs="Arial"/>
        </w:rPr>
        <w:t xml:space="preserve"> individuals or groups of individuals based on their position, </w:t>
      </w:r>
      <w:proofErr w:type="gramStart"/>
      <w:r w:rsidRPr="5B3DE771">
        <w:rPr>
          <w:rFonts w:ascii="Arial" w:eastAsia="Arial" w:hAnsi="Arial" w:cs="Arial"/>
        </w:rPr>
        <w:t>knowledge</w:t>
      </w:r>
      <w:proofErr w:type="gramEnd"/>
      <w:r w:rsidRPr="5B3DE771">
        <w:rPr>
          <w:rFonts w:ascii="Arial" w:eastAsia="Arial" w:hAnsi="Arial" w:cs="Arial"/>
        </w:rPr>
        <w:t xml:space="preserve"> and experience in relation to the research questions (Robinson 2014). Thus, we are concerned with selecting individual residents of ‘left behind’ places who identify with these places and </w:t>
      </w:r>
      <w:r>
        <w:rPr>
          <w:rFonts w:ascii="Arial" w:eastAsia="Arial" w:hAnsi="Arial" w:cs="Arial"/>
        </w:rPr>
        <w:t xml:space="preserve">deploy different everyday social and economic practices to make a living and sustain their households. </w:t>
      </w:r>
      <w:r w:rsidRPr="5B3DE771">
        <w:rPr>
          <w:rFonts w:ascii="Arial" w:eastAsia="Arial" w:hAnsi="Arial" w:cs="Arial"/>
        </w:rPr>
        <w:t>The interviews will adopt a theoretical sampling strategy – a form of purposive sa</w:t>
      </w:r>
      <w:r>
        <w:rPr>
          <w:rFonts w:ascii="Arial" w:eastAsia="Arial" w:hAnsi="Arial" w:cs="Arial"/>
        </w:rPr>
        <w:t>mp</w:t>
      </w:r>
      <w:r w:rsidRPr="5B3DE771">
        <w:rPr>
          <w:rFonts w:ascii="Arial" w:eastAsia="Arial" w:hAnsi="Arial" w:cs="Arial"/>
        </w:rPr>
        <w:t xml:space="preserve">ling </w:t>
      </w:r>
      <w:r>
        <w:rPr>
          <w:rFonts w:ascii="Arial" w:eastAsia="Arial" w:hAnsi="Arial" w:cs="Arial"/>
        </w:rPr>
        <w:t>–</w:t>
      </w:r>
      <w:r w:rsidRPr="5B3DE771">
        <w:rPr>
          <w:rFonts w:ascii="Arial" w:eastAsia="Arial" w:hAnsi="Arial" w:cs="Arial"/>
        </w:rPr>
        <w:t xml:space="preserve"> whereby</w:t>
      </w:r>
      <w:r>
        <w:rPr>
          <w:rFonts w:ascii="Arial" w:eastAsia="Arial" w:hAnsi="Arial" w:cs="Arial"/>
        </w:rPr>
        <w:t xml:space="preserve"> </w:t>
      </w:r>
      <w:r w:rsidRPr="5B3DE771">
        <w:rPr>
          <w:rFonts w:ascii="Arial" w:eastAsia="Arial" w:hAnsi="Arial" w:cs="Arial"/>
        </w:rPr>
        <w:t>the sampling takes place during the collection and analysis of data as the sample is adjusted to build in heterogeneity and ensure coverage of key sub-groups (Robinson 2014). This overlaps with a ‘snowballing’ approach to the recruitment of respondents which involve</w:t>
      </w:r>
      <w:r>
        <w:rPr>
          <w:rFonts w:ascii="Arial" w:eastAsia="Arial" w:hAnsi="Arial" w:cs="Arial"/>
        </w:rPr>
        <w:t>s</w:t>
      </w:r>
      <w:r w:rsidRPr="5B3DE771">
        <w:rPr>
          <w:rFonts w:ascii="Arial" w:eastAsia="Arial" w:hAnsi="Arial" w:cs="Arial"/>
        </w:rPr>
        <w:t xml:space="preserve"> using in</w:t>
      </w:r>
      <w:r>
        <w:rPr>
          <w:rFonts w:ascii="Arial" w:eastAsia="Arial" w:hAnsi="Arial" w:cs="Arial"/>
        </w:rPr>
        <w:t>i</w:t>
      </w:r>
      <w:r w:rsidRPr="5B3DE771">
        <w:rPr>
          <w:rFonts w:ascii="Arial" w:eastAsia="Arial" w:hAnsi="Arial" w:cs="Arial"/>
        </w:rPr>
        <w:t>tial interview contact</w:t>
      </w:r>
      <w:r>
        <w:rPr>
          <w:rFonts w:ascii="Arial" w:eastAsia="Arial" w:hAnsi="Arial" w:cs="Arial"/>
        </w:rPr>
        <w:t>s</w:t>
      </w:r>
      <w:r w:rsidRPr="5B3DE771">
        <w:rPr>
          <w:rFonts w:ascii="Arial" w:eastAsia="Arial" w:hAnsi="Arial" w:cs="Arial"/>
        </w:rPr>
        <w:t xml:space="preserve"> to help recruit other contacts, expan</w:t>
      </w:r>
      <w:r>
        <w:rPr>
          <w:rFonts w:ascii="Arial" w:eastAsia="Arial" w:hAnsi="Arial" w:cs="Arial"/>
        </w:rPr>
        <w:t>d</w:t>
      </w:r>
      <w:r w:rsidRPr="5B3DE771">
        <w:rPr>
          <w:rFonts w:ascii="Arial" w:eastAsia="Arial" w:hAnsi="Arial" w:cs="Arial"/>
        </w:rPr>
        <w:t>in</w:t>
      </w:r>
      <w:r>
        <w:rPr>
          <w:rFonts w:ascii="Arial" w:eastAsia="Arial" w:hAnsi="Arial" w:cs="Arial"/>
        </w:rPr>
        <w:t>g</w:t>
      </w:r>
      <w:r w:rsidRPr="5B3DE771">
        <w:rPr>
          <w:rFonts w:ascii="Arial" w:eastAsia="Arial" w:hAnsi="Arial" w:cs="Arial"/>
        </w:rPr>
        <w:t xml:space="preserve"> the sa</w:t>
      </w:r>
      <w:r>
        <w:rPr>
          <w:rFonts w:ascii="Arial" w:eastAsia="Arial" w:hAnsi="Arial" w:cs="Arial"/>
        </w:rPr>
        <w:t>mp</w:t>
      </w:r>
      <w:r w:rsidRPr="5B3DE771">
        <w:rPr>
          <w:rFonts w:ascii="Arial" w:eastAsia="Arial" w:hAnsi="Arial" w:cs="Arial"/>
        </w:rPr>
        <w:t>le as the research proceeds (Valentine 2005).</w:t>
      </w:r>
    </w:p>
    <w:p w14:paraId="004D2857" w14:textId="77777777" w:rsidR="00D9255D" w:rsidRPr="0090536B" w:rsidRDefault="00D9255D" w:rsidP="00D9255D">
      <w:pPr>
        <w:rPr>
          <w:rFonts w:ascii="Arial" w:hAnsi="Arial" w:cs="Arial"/>
        </w:rPr>
      </w:pPr>
      <w:r w:rsidRPr="5B3DE771">
        <w:rPr>
          <w:rFonts w:ascii="Arial" w:hAnsi="Arial" w:cs="Arial"/>
        </w:rPr>
        <w:t xml:space="preserve">Our population of interest </w:t>
      </w:r>
      <w:proofErr w:type="gramStart"/>
      <w:r w:rsidRPr="5B3DE771">
        <w:rPr>
          <w:rFonts w:ascii="Arial" w:hAnsi="Arial" w:cs="Arial"/>
        </w:rPr>
        <w:t>is:</w:t>
      </w:r>
      <w:proofErr w:type="gramEnd"/>
      <w:r w:rsidRPr="5B3DE771">
        <w:rPr>
          <w:rFonts w:ascii="Arial" w:hAnsi="Arial" w:cs="Arial"/>
        </w:rPr>
        <w:t xml:space="preserve"> residents aged 16 and above of the case study neighbourhood/town, who have lived in the case study neighbourhood/town for at least the last two years. </w:t>
      </w:r>
    </w:p>
    <w:p w14:paraId="2B113499" w14:textId="77777777" w:rsidR="00D9255D" w:rsidRPr="0090536B" w:rsidRDefault="00D9255D" w:rsidP="00D9255D">
      <w:pPr>
        <w:rPr>
          <w:rFonts w:ascii="Arial" w:hAnsi="Arial" w:cs="Arial"/>
        </w:rPr>
      </w:pPr>
      <w:r w:rsidRPr="0090536B">
        <w:rPr>
          <w:rFonts w:ascii="Arial" w:hAnsi="Arial" w:cs="Arial"/>
        </w:rPr>
        <w:t xml:space="preserve">The purpose of this last criteria is to ensure participants have had enough time to develop their perception of the area, but we can be somewhat flexible around the exact length of residence. For instance, if someone has only moved into the actual case study neighbourhood in the last two years but before this they lived in a nearby neighbourhood, we can still include them. Similarly, we can be somewhat flexible with regards to geographic delimitations. If someone lives just over the boundary of one of our case study </w:t>
      </w:r>
      <w:proofErr w:type="gramStart"/>
      <w:r w:rsidRPr="0090536B">
        <w:rPr>
          <w:rFonts w:ascii="Arial" w:hAnsi="Arial" w:cs="Arial"/>
        </w:rPr>
        <w:t>neighbourhoods</w:t>
      </w:r>
      <w:proofErr w:type="gramEnd"/>
      <w:r w:rsidRPr="0090536B">
        <w:rPr>
          <w:rFonts w:ascii="Arial" w:hAnsi="Arial" w:cs="Arial"/>
        </w:rPr>
        <w:t xml:space="preserve"> they can still be included.</w:t>
      </w:r>
    </w:p>
    <w:p w14:paraId="4E1BA4C1" w14:textId="77777777" w:rsidR="00D9255D" w:rsidRPr="0090536B" w:rsidRDefault="00D9255D" w:rsidP="00D9255D">
      <w:pPr>
        <w:rPr>
          <w:rFonts w:ascii="Arial" w:hAnsi="Arial" w:cs="Arial"/>
        </w:rPr>
      </w:pPr>
      <w:r w:rsidRPr="5B3DE771">
        <w:rPr>
          <w:rFonts w:ascii="Arial" w:hAnsi="Arial" w:cs="Arial"/>
        </w:rPr>
        <w:t>To ensure we speak to a range of people from different backgrounds and with different characteristics, we would like the participants to be roughly representative of the case study area in terms of gender and age. And we would ideally like to speak to people of different ethnicities and different socio-economic groups, again based on the population composition of the case study areas. This means that we would like to have at least some representation from the following groups in our sample of 30-35 per case:</w:t>
      </w:r>
    </w:p>
    <w:p w14:paraId="158C59CE" w14:textId="77777777" w:rsidR="00D9255D" w:rsidRPr="0090536B" w:rsidRDefault="00D9255D" w:rsidP="00D9255D">
      <w:pPr>
        <w:pStyle w:val="ListParagraph"/>
        <w:numPr>
          <w:ilvl w:val="0"/>
          <w:numId w:val="1"/>
        </w:numPr>
        <w:rPr>
          <w:rFonts w:ascii="Arial" w:hAnsi="Arial" w:cs="Arial"/>
        </w:rPr>
      </w:pPr>
      <w:r w:rsidRPr="5B3DE771">
        <w:rPr>
          <w:rFonts w:ascii="Arial" w:hAnsi="Arial" w:cs="Arial"/>
        </w:rPr>
        <w:t xml:space="preserve">Women and men (of course people with other gender identifications are welcome too!) </w:t>
      </w:r>
      <w:r>
        <w:rPr>
          <w:rFonts w:ascii="Arial" w:hAnsi="Arial" w:cs="Arial"/>
        </w:rPr>
        <w:t xml:space="preserve">in more or less even proportion, i.e. </w:t>
      </w:r>
      <w:r w:rsidRPr="5B3DE771">
        <w:rPr>
          <w:rFonts w:ascii="Arial" w:hAnsi="Arial" w:cs="Arial"/>
        </w:rPr>
        <w:t xml:space="preserve">15-17/18 per </w:t>
      </w:r>
      <w:proofErr w:type="gramStart"/>
      <w:r w:rsidRPr="5B3DE771">
        <w:rPr>
          <w:rFonts w:ascii="Arial" w:hAnsi="Arial" w:cs="Arial"/>
        </w:rPr>
        <w:t>case</w:t>
      </w:r>
      <w:proofErr w:type="gramEnd"/>
    </w:p>
    <w:p w14:paraId="445DF792" w14:textId="77777777" w:rsidR="00D9255D" w:rsidRPr="0090536B" w:rsidRDefault="00D9255D" w:rsidP="00D9255D">
      <w:pPr>
        <w:pStyle w:val="ListParagraph"/>
        <w:numPr>
          <w:ilvl w:val="0"/>
          <w:numId w:val="1"/>
        </w:numPr>
        <w:rPr>
          <w:rFonts w:ascii="Arial" w:hAnsi="Arial" w:cs="Arial"/>
        </w:rPr>
      </w:pPr>
      <w:r>
        <w:rPr>
          <w:rFonts w:ascii="Arial" w:hAnsi="Arial" w:cs="Arial"/>
        </w:rPr>
        <w:t>Y</w:t>
      </w:r>
      <w:r w:rsidRPr="5B3DE771">
        <w:rPr>
          <w:rFonts w:ascii="Arial" w:hAnsi="Arial" w:cs="Arial"/>
        </w:rPr>
        <w:t xml:space="preserve">oung people (18-24) (5-6 per case), </w:t>
      </w:r>
      <w:proofErr w:type="gramStart"/>
      <w:r w:rsidRPr="5B3DE771">
        <w:rPr>
          <w:rFonts w:ascii="Arial" w:hAnsi="Arial" w:cs="Arial"/>
        </w:rPr>
        <w:t>working-age</w:t>
      </w:r>
      <w:proofErr w:type="gramEnd"/>
      <w:r w:rsidRPr="5B3DE771">
        <w:rPr>
          <w:rFonts w:ascii="Arial" w:hAnsi="Arial" w:cs="Arial"/>
        </w:rPr>
        <w:t xml:space="preserve"> and/or family formation age (25-45) (13-16 per case), mature (45-65) (12-13 per case), and pensioner age (65+) (5-6 per case)</w:t>
      </w:r>
    </w:p>
    <w:p w14:paraId="63EF7DAB" w14:textId="77777777" w:rsidR="00D9255D" w:rsidRPr="0090536B" w:rsidRDefault="00D9255D" w:rsidP="00D9255D">
      <w:pPr>
        <w:pStyle w:val="ListParagraph"/>
        <w:numPr>
          <w:ilvl w:val="0"/>
          <w:numId w:val="1"/>
        </w:numPr>
        <w:rPr>
          <w:rFonts w:ascii="Arial" w:hAnsi="Arial" w:cs="Arial"/>
        </w:rPr>
      </w:pPr>
      <w:r w:rsidRPr="0090536B">
        <w:rPr>
          <w:rFonts w:ascii="Arial" w:hAnsi="Arial" w:cs="Arial"/>
        </w:rPr>
        <w:t>White British/French/German, white other, and non-white groups</w:t>
      </w:r>
    </w:p>
    <w:p w14:paraId="75B4FCF5" w14:textId="77777777" w:rsidR="00D9255D" w:rsidRPr="0090536B" w:rsidRDefault="00D9255D" w:rsidP="00D9255D">
      <w:pPr>
        <w:pStyle w:val="ListParagraph"/>
        <w:numPr>
          <w:ilvl w:val="0"/>
          <w:numId w:val="1"/>
        </w:numPr>
        <w:rPr>
          <w:rFonts w:ascii="Arial" w:hAnsi="Arial" w:cs="Arial"/>
        </w:rPr>
      </w:pPr>
      <w:r w:rsidRPr="5B3DE771">
        <w:rPr>
          <w:rFonts w:ascii="Arial" w:hAnsi="Arial" w:cs="Arial"/>
        </w:rPr>
        <w:t>People in full-time education (5-6 per case), people in work (15-17), people out of work/looking after the home (5-6), and retired people (5-6)</w:t>
      </w:r>
    </w:p>
    <w:p w14:paraId="7CD800D1" w14:textId="4BCB63EA" w:rsidR="000B733C" w:rsidRPr="00D9255D" w:rsidRDefault="00D9255D">
      <w:pPr>
        <w:rPr>
          <w:rFonts w:ascii="Arial" w:hAnsi="Arial" w:cs="Arial"/>
        </w:rPr>
      </w:pPr>
      <w:r w:rsidRPr="0090536B">
        <w:rPr>
          <w:rFonts w:ascii="Arial" w:hAnsi="Arial" w:cs="Arial"/>
        </w:rPr>
        <w:lastRenderedPageBreak/>
        <w:t xml:space="preserve">Depending on the nature of the specific case study area, we may want to include other groups in this. For instance, in areas of high recent/current immigration, we may want to ensure that we speak to at least a few people who have immigrated to the country in question within the last 5-10 years. </w:t>
      </w:r>
    </w:p>
    <w:sectPr w:rsidR="000B733C" w:rsidRPr="00D925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6296E"/>
    <w:multiLevelType w:val="hybridMultilevel"/>
    <w:tmpl w:val="326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200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9255D"/>
    <w:rsid w:val="000B733C"/>
    <w:rsid w:val="004D6134"/>
    <w:rsid w:val="00C00B3F"/>
    <w:rsid w:val="00D34CDC"/>
    <w:rsid w:val="00D9255D"/>
    <w:rsid w:val="00EA64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4327"/>
  <w15:chartTrackingRefBased/>
  <w15:docId w15:val="{38698E17-C596-4441-97D8-010E14E4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55D"/>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55D"/>
    <w:pPr>
      <w:ind w:left="720"/>
      <w:contextualSpacing/>
    </w:pPr>
  </w:style>
  <w:style w:type="character" w:styleId="CommentReference">
    <w:name w:val="annotation reference"/>
    <w:basedOn w:val="DefaultParagraphFont"/>
    <w:uiPriority w:val="99"/>
    <w:semiHidden/>
    <w:unhideWhenUsed/>
    <w:rsid w:val="00D9255D"/>
    <w:rPr>
      <w:sz w:val="16"/>
      <w:szCs w:val="16"/>
    </w:rPr>
  </w:style>
  <w:style w:type="paragraph" w:styleId="CommentText">
    <w:name w:val="annotation text"/>
    <w:basedOn w:val="Normal"/>
    <w:link w:val="CommentTextChar"/>
    <w:uiPriority w:val="99"/>
    <w:semiHidden/>
    <w:unhideWhenUsed/>
    <w:rsid w:val="00D9255D"/>
    <w:pPr>
      <w:spacing w:line="240" w:lineRule="auto"/>
    </w:pPr>
    <w:rPr>
      <w:sz w:val="20"/>
      <w:szCs w:val="20"/>
    </w:rPr>
  </w:style>
  <w:style w:type="character" w:customStyle="1" w:styleId="CommentTextChar">
    <w:name w:val="Comment Text Char"/>
    <w:basedOn w:val="DefaultParagraphFont"/>
    <w:link w:val="CommentText"/>
    <w:uiPriority w:val="99"/>
    <w:semiHidden/>
    <w:rsid w:val="00D9255D"/>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3223</Characters>
  <Application>Microsoft Office Word</Application>
  <DocSecurity>0</DocSecurity>
  <Lines>26</Lines>
  <Paragraphs>7</Paragraphs>
  <ScaleCrop>false</ScaleCrop>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Sanne Velthuis</dc:creator>
  <cp:keywords/>
  <dc:description/>
  <cp:lastModifiedBy>Sanne Velthuis</cp:lastModifiedBy>
  <cp:revision>2</cp:revision>
  <dcterms:created xsi:type="dcterms:W3CDTF">2024-11-04T16:15:00Z</dcterms:created>
  <dcterms:modified xsi:type="dcterms:W3CDTF">2024-11-04T16:15:00Z</dcterms:modified>
</cp:coreProperties>
</file>